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147" w14:textId="2C4E73DE" w:rsidR="00E81FA4" w:rsidRPr="00FC00BC" w:rsidRDefault="00E81FA4" w:rsidP="00E81F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Worksheet </w:t>
      </w:r>
      <w:r>
        <w:rPr>
          <w:rFonts w:ascii="Times New Roman" w:hAnsi="Times New Roman" w:cs="Times New Roman"/>
          <w:b/>
          <w:bCs/>
          <w:sz w:val="22"/>
          <w:szCs w:val="22"/>
        </w:rPr>
        <w:t>3</w:t>
      </w:r>
    </w:p>
    <w:p w14:paraId="7507D21F" w14:textId="77777777" w:rsidR="00E81FA4" w:rsidRPr="00FC00BC" w:rsidRDefault="00E81FA4" w:rsidP="00E81F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Phil 117</w:t>
      </w:r>
    </w:p>
    <w:p w14:paraId="4814ED97" w14:textId="77777777" w:rsidR="00E81FA4" w:rsidRPr="00FC00BC" w:rsidRDefault="00E81FA4" w:rsidP="00E81F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5EB9D49" w14:textId="118563A2" w:rsidR="00E81FA4" w:rsidRPr="00FC00BC" w:rsidRDefault="00E81FA4" w:rsidP="00E81F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Due: Upload this worksheet to Canvas by November </w:t>
      </w:r>
      <w:r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class time</w:t>
      </w:r>
    </w:p>
    <w:p w14:paraId="1AFDD4C9" w14:textId="0B2CF6A7" w:rsidR="00E81FA4" w:rsidRPr="00FC00BC" w:rsidRDefault="00481C26" w:rsidP="00E81FA4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40</w:t>
      </w:r>
      <w:r w:rsidR="00E81FA4"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 points</w:t>
      </w:r>
    </w:p>
    <w:p w14:paraId="16D8DFA4" w14:textId="77777777" w:rsidR="00E81FA4" w:rsidRPr="00FC00BC" w:rsidRDefault="00E81FA4" w:rsidP="00E81FA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9084809" w14:textId="77777777" w:rsidR="00E81FA4" w:rsidRPr="00FC00BC" w:rsidRDefault="00E81FA4" w:rsidP="00E81FA4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>DIRECTIONS:</w:t>
      </w:r>
    </w:p>
    <w:p w14:paraId="6DC0303F" w14:textId="2BC099AD" w:rsidR="00E81FA4" w:rsidRDefault="00E81FA4" w:rsidP="00E81FA4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sz w:val="22"/>
          <w:szCs w:val="22"/>
        </w:rPr>
        <w:t xml:space="preserve">In this worksheet, you will </w:t>
      </w:r>
      <w:r w:rsidR="00481C26">
        <w:rPr>
          <w:rFonts w:ascii="Times New Roman" w:hAnsi="Times New Roman" w:cs="Times New Roman"/>
          <w:sz w:val="22"/>
          <w:szCs w:val="22"/>
        </w:rPr>
        <w:t>find 6 Jain studies sources related to the theme and/or specific issue you have chosen. You will create research charts</w:t>
      </w:r>
      <w:r w:rsidRPr="00FC00BC">
        <w:rPr>
          <w:rFonts w:ascii="Times New Roman" w:hAnsi="Times New Roman" w:cs="Times New Roman"/>
          <w:sz w:val="22"/>
          <w:szCs w:val="22"/>
        </w:rPr>
        <w:t xml:space="preserve"> utilizing the </w:t>
      </w:r>
      <w:r w:rsidRPr="00FC00BC">
        <w:rPr>
          <w:rFonts w:ascii="Times New Roman" w:hAnsi="Times New Roman" w:cs="Times New Roman"/>
          <w:i/>
          <w:iCs/>
          <w:sz w:val="22"/>
          <w:szCs w:val="22"/>
        </w:rPr>
        <w:t>Bedford Handbook</w:t>
      </w:r>
      <w:r w:rsidR="00481C26">
        <w:rPr>
          <w:rFonts w:ascii="Times New Roman" w:hAnsi="Times New Roman" w:cs="Times New Roman"/>
          <w:sz w:val="22"/>
          <w:szCs w:val="22"/>
        </w:rPr>
        <w:t xml:space="preserve"> to also create bibliography/works cited entries for each source.</w:t>
      </w:r>
    </w:p>
    <w:p w14:paraId="16D43AB9" w14:textId="66DD7983" w:rsidR="00481C26" w:rsidRDefault="00481C26" w:rsidP="00E81FA4">
      <w:pPr>
        <w:rPr>
          <w:rFonts w:ascii="Times New Roman" w:hAnsi="Times New Roman" w:cs="Times New Roman"/>
          <w:sz w:val="22"/>
          <w:szCs w:val="22"/>
        </w:rPr>
      </w:pPr>
    </w:p>
    <w:p w14:paraId="598B7A2B" w14:textId="314C7B20" w:rsidR="00481C26" w:rsidRDefault="00481C26" w:rsidP="00E81F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*Note that you will be using these research charts to create a Jain response in Worksheet 4 (detail to come). </w:t>
      </w:r>
    </w:p>
    <w:p w14:paraId="0107DCD3" w14:textId="77777777" w:rsidR="00E81FA4" w:rsidRPr="00FC00BC" w:rsidRDefault="00E81FA4" w:rsidP="00E81FA4">
      <w:pPr>
        <w:rPr>
          <w:rFonts w:ascii="Times New Roman" w:hAnsi="Times New Roman" w:cs="Times New Roman"/>
          <w:sz w:val="22"/>
          <w:szCs w:val="22"/>
        </w:rPr>
      </w:pPr>
    </w:p>
    <w:p w14:paraId="2E12A875" w14:textId="660F7F07" w:rsidR="007D5B14" w:rsidRDefault="00E81FA4" w:rsidP="00E81FA4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Step 1: </w:t>
      </w:r>
      <w:r w:rsidRPr="00FC00BC">
        <w:rPr>
          <w:rFonts w:ascii="Times New Roman" w:hAnsi="Times New Roman" w:cs="Times New Roman"/>
          <w:sz w:val="22"/>
          <w:szCs w:val="22"/>
        </w:rPr>
        <w:t xml:space="preserve">Locate </w:t>
      </w:r>
      <w:r w:rsidR="00481C26">
        <w:rPr>
          <w:rFonts w:ascii="Times New Roman" w:hAnsi="Times New Roman" w:cs="Times New Roman"/>
          <w:sz w:val="22"/>
          <w:szCs w:val="22"/>
        </w:rPr>
        <w:t xml:space="preserve">six Jain </w:t>
      </w:r>
      <w:proofErr w:type="spellStart"/>
      <w:r w:rsidR="00481C26">
        <w:rPr>
          <w:rFonts w:ascii="Times New Roman" w:hAnsi="Times New Roman" w:cs="Times New Roman"/>
          <w:sz w:val="22"/>
          <w:szCs w:val="22"/>
        </w:rPr>
        <w:t>studies</w:t>
      </w:r>
      <w:proofErr w:type="spellEnd"/>
      <w:r w:rsidRPr="00FC00BC">
        <w:rPr>
          <w:rFonts w:ascii="Times New Roman" w:hAnsi="Times New Roman" w:cs="Times New Roman"/>
          <w:sz w:val="22"/>
          <w:szCs w:val="22"/>
        </w:rPr>
        <w:t xml:space="preserve"> sources that </w:t>
      </w:r>
      <w:r w:rsidR="00481C26">
        <w:rPr>
          <w:rFonts w:ascii="Times New Roman" w:hAnsi="Times New Roman" w:cs="Times New Roman"/>
          <w:sz w:val="22"/>
          <w:szCs w:val="22"/>
        </w:rPr>
        <w:t>engage key terms or discussion related to your theme or specific issue. Our course sources, including Babb and weekly thematic readings CAN BE included.</w:t>
      </w:r>
      <w:r w:rsidR="007D5B14">
        <w:rPr>
          <w:rFonts w:ascii="Times New Roman" w:hAnsi="Times New Roman" w:cs="Times New Roman"/>
          <w:sz w:val="22"/>
          <w:szCs w:val="22"/>
        </w:rPr>
        <w:t xml:space="preserve"> This means that most students will already have at least three sources at hand.</w:t>
      </w:r>
    </w:p>
    <w:p w14:paraId="4297010E" w14:textId="77777777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</w:p>
    <w:p w14:paraId="2DFC3790" w14:textId="7E0ED5E2" w:rsidR="007D5B14" w:rsidRDefault="00481C26" w:rsidP="00E81F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It is unlikely that any Jain studies source will specifically address your issue. Thus, the aim is to find sources that speak</w:t>
      </w:r>
      <w:r w:rsidR="007D5B14">
        <w:rPr>
          <w:rFonts w:ascii="Times New Roman" w:hAnsi="Times New Roman" w:cs="Times New Roman"/>
          <w:sz w:val="22"/>
          <w:szCs w:val="22"/>
        </w:rPr>
        <w:t xml:space="preserve"> either</w:t>
      </w:r>
      <w:r>
        <w:rPr>
          <w:rFonts w:ascii="Times New Roman" w:hAnsi="Times New Roman" w:cs="Times New Roman"/>
          <w:sz w:val="22"/>
          <w:szCs w:val="22"/>
        </w:rPr>
        <w:t xml:space="preserve"> to</w:t>
      </w:r>
      <w:r w:rsidR="007D5B14">
        <w:rPr>
          <w:rFonts w:ascii="Times New Roman" w:hAnsi="Times New Roman" w:cs="Times New Roman"/>
          <w:sz w:val="22"/>
          <w:szCs w:val="22"/>
        </w:rPr>
        <w:t xml:space="preserve"> (1)</w:t>
      </w:r>
      <w:r>
        <w:rPr>
          <w:rFonts w:ascii="Times New Roman" w:hAnsi="Times New Roman" w:cs="Times New Roman"/>
          <w:sz w:val="22"/>
          <w:szCs w:val="22"/>
        </w:rPr>
        <w:t xml:space="preserve"> the basic theme (pluralism, environmental/climate issues, animal welfare, war, gender ethics, </w:t>
      </w:r>
      <w:r w:rsidR="007D5B14">
        <w:rPr>
          <w:rFonts w:ascii="Times New Roman" w:hAnsi="Times New Roman" w:cs="Times New Roman"/>
          <w:sz w:val="22"/>
          <w:szCs w:val="22"/>
        </w:rPr>
        <w:t xml:space="preserve">right-to-die) or to (2) key Jain concepts that might underlie your issue (for example karma, </w:t>
      </w:r>
      <w:proofErr w:type="spellStart"/>
      <w:r w:rsidR="007D5B14" w:rsidRPr="007D5B14">
        <w:rPr>
          <w:rFonts w:ascii="Times New Roman" w:hAnsi="Times New Roman" w:cs="Times New Roman"/>
          <w:i/>
          <w:iCs/>
          <w:sz w:val="22"/>
          <w:szCs w:val="22"/>
        </w:rPr>
        <w:t>jīva</w:t>
      </w:r>
      <w:proofErr w:type="spellEnd"/>
      <w:r w:rsidR="007D5B14">
        <w:rPr>
          <w:rFonts w:ascii="Times New Roman" w:hAnsi="Times New Roman" w:cs="Times New Roman"/>
          <w:sz w:val="22"/>
          <w:szCs w:val="22"/>
        </w:rPr>
        <w:t xml:space="preserve">, birth states, vows, etc., or any of the other fundamental elements of the </w:t>
      </w:r>
      <w:proofErr w:type="spellStart"/>
      <w:r w:rsidR="007D5B14">
        <w:rPr>
          <w:rFonts w:ascii="Times New Roman" w:hAnsi="Times New Roman" w:cs="Times New Roman"/>
          <w:sz w:val="22"/>
          <w:szCs w:val="22"/>
        </w:rPr>
        <w:t>Jaina</w:t>
      </w:r>
      <w:proofErr w:type="spellEnd"/>
      <w:r w:rsidR="007D5B14">
        <w:rPr>
          <w:rFonts w:ascii="Times New Roman" w:hAnsi="Times New Roman" w:cs="Times New Roman"/>
          <w:sz w:val="22"/>
          <w:szCs w:val="22"/>
        </w:rPr>
        <w:t xml:space="preserve"> worldview which may relate to your topic).</w:t>
      </w:r>
    </w:p>
    <w:p w14:paraId="1A302F7F" w14:textId="459AE04C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</w:p>
    <w:p w14:paraId="27F74D57" w14:textId="4EE5E342" w:rsidR="007D5B14" w:rsidRDefault="007D5B14" w:rsidP="007D5B1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Ideally, these sources should be peer-reviewed or otherwise uniquely valuable. That is, there may be a valuable source (such as the Jain Climate Declaration we read in class) that are thematically significant, but not </w:t>
      </w:r>
      <w:proofErr w:type="gramStart"/>
      <w:r>
        <w:rPr>
          <w:rFonts w:ascii="Times New Roman" w:hAnsi="Times New Roman" w:cs="Times New Roman"/>
          <w:sz w:val="22"/>
          <w:szCs w:val="22"/>
        </w:rPr>
        <w:t>peer-reviewed</w:t>
      </w:r>
      <w:proofErr w:type="gramEnd"/>
      <w:r>
        <w:rPr>
          <w:rFonts w:ascii="Times New Roman" w:hAnsi="Times New Roman" w:cs="Times New Roman"/>
          <w:sz w:val="22"/>
          <w:szCs w:val="22"/>
        </w:rPr>
        <w:t>. Use care in choosing sources.</w:t>
      </w:r>
    </w:p>
    <w:p w14:paraId="57477796" w14:textId="6BC3976C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</w:p>
    <w:p w14:paraId="44BB3556" w14:textId="5FE53B2F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 valuable encyclopedic, peer-reviewed source is </w:t>
      </w:r>
      <w:hyperlink r:id="rId5" w:history="1">
        <w:r w:rsidRPr="00D30265">
          <w:rPr>
            <w:rStyle w:val="Hyperlink"/>
            <w:rFonts w:ascii="Times New Roman" w:hAnsi="Times New Roman" w:cs="Times New Roman"/>
            <w:sz w:val="22"/>
            <w:szCs w:val="22"/>
          </w:rPr>
          <w:t>http://jainpedia.org/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  <w:r w:rsidR="00581FF3">
        <w:rPr>
          <w:rFonts w:ascii="Times New Roman" w:hAnsi="Times New Roman" w:cs="Times New Roman"/>
          <w:sz w:val="22"/>
          <w:szCs w:val="22"/>
        </w:rPr>
        <w:t xml:space="preserve"> This source is especially helpful for fundamental concepts such as </w:t>
      </w:r>
      <w:proofErr w:type="spellStart"/>
      <w:r w:rsidR="00581FF3" w:rsidRPr="00581FF3">
        <w:rPr>
          <w:rFonts w:ascii="Times New Roman" w:hAnsi="Times New Roman" w:cs="Times New Roman"/>
          <w:i/>
          <w:iCs/>
          <w:sz w:val="22"/>
          <w:szCs w:val="22"/>
        </w:rPr>
        <w:t>jīva</w:t>
      </w:r>
      <w:proofErr w:type="spellEnd"/>
      <w:r w:rsidR="00581FF3">
        <w:rPr>
          <w:rFonts w:ascii="Times New Roman" w:hAnsi="Times New Roman" w:cs="Times New Roman"/>
          <w:sz w:val="22"/>
          <w:szCs w:val="22"/>
        </w:rPr>
        <w:t xml:space="preserve">, karma, </w:t>
      </w:r>
      <w:proofErr w:type="spellStart"/>
      <w:r w:rsidR="00581FF3" w:rsidRPr="00581FF3">
        <w:rPr>
          <w:rFonts w:ascii="Times New Roman" w:hAnsi="Times New Roman" w:cs="Times New Roman"/>
          <w:i/>
          <w:iCs/>
          <w:sz w:val="22"/>
          <w:szCs w:val="22"/>
        </w:rPr>
        <w:t>ahiṃsā</w:t>
      </w:r>
      <w:proofErr w:type="spellEnd"/>
      <w:r w:rsidR="00581FF3">
        <w:rPr>
          <w:rFonts w:ascii="Times New Roman" w:hAnsi="Times New Roman" w:cs="Times New Roman"/>
          <w:sz w:val="22"/>
          <w:szCs w:val="22"/>
        </w:rPr>
        <w:t xml:space="preserve">, mendicants, lay people, and many other key terms that you may want additional information on. </w:t>
      </w:r>
    </w:p>
    <w:p w14:paraId="25A96C35" w14:textId="77777777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</w:p>
    <w:p w14:paraId="1AA764A8" w14:textId="7ED3FD4D" w:rsidR="007D5B14" w:rsidRDefault="007D5B14" w:rsidP="00E81FA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Other possible ways to find sources: </w:t>
      </w:r>
    </w:p>
    <w:p w14:paraId="0DCCC564" w14:textId="6BBED8E9" w:rsidR="00581FF3" w:rsidRDefault="00581FF3" w:rsidP="00581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7D5B14">
        <w:rPr>
          <w:rFonts w:ascii="Times New Roman" w:hAnsi="Times New Roman" w:cs="Times New Roman"/>
          <w:sz w:val="22"/>
          <w:szCs w:val="22"/>
        </w:rPr>
        <w:t xml:space="preserve">ook at the </w:t>
      </w:r>
      <w:r>
        <w:rPr>
          <w:rFonts w:ascii="Times New Roman" w:hAnsi="Times New Roman" w:cs="Times New Roman"/>
          <w:sz w:val="22"/>
          <w:szCs w:val="22"/>
        </w:rPr>
        <w:t>b</w:t>
      </w:r>
      <w:r w:rsidR="007D5B14">
        <w:rPr>
          <w:rFonts w:ascii="Times New Roman" w:hAnsi="Times New Roman" w:cs="Times New Roman"/>
          <w:sz w:val="22"/>
          <w:szCs w:val="22"/>
        </w:rPr>
        <w:t>ibliograph</w:t>
      </w:r>
      <w:r>
        <w:rPr>
          <w:rFonts w:ascii="Times New Roman" w:hAnsi="Times New Roman" w:cs="Times New Roman"/>
          <w:sz w:val="22"/>
          <w:szCs w:val="22"/>
        </w:rPr>
        <w:t>ies</w:t>
      </w:r>
      <w:r w:rsidR="007D5B14">
        <w:rPr>
          <w:rFonts w:ascii="Times New Roman" w:hAnsi="Times New Roman" w:cs="Times New Roman"/>
          <w:sz w:val="22"/>
          <w:szCs w:val="22"/>
        </w:rPr>
        <w:t xml:space="preserve"> in course sources for additional sources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FFE5A82" w14:textId="24F84F08" w:rsidR="00581FF3" w:rsidRPr="00581FF3" w:rsidRDefault="00581FF3" w:rsidP="00581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If there is a relevant Wikipedia page (not a valid source in itself), look at the bibliography of sources drawn upon at the bottom.</w:t>
      </w:r>
    </w:p>
    <w:p w14:paraId="095972C0" w14:textId="17A848DE" w:rsidR="007D5B14" w:rsidRDefault="00581FF3" w:rsidP="007D5B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D5B14">
        <w:rPr>
          <w:rFonts w:ascii="Times New Roman" w:hAnsi="Times New Roman" w:cs="Times New Roman"/>
          <w:sz w:val="22"/>
          <w:szCs w:val="22"/>
        </w:rPr>
        <w:t>o an index search</w:t>
      </w:r>
      <w:r>
        <w:rPr>
          <w:rFonts w:ascii="Times New Roman" w:hAnsi="Times New Roman" w:cs="Times New Roman"/>
          <w:sz w:val="22"/>
          <w:szCs w:val="22"/>
        </w:rPr>
        <w:t xml:space="preserve"> or key term</w:t>
      </w:r>
      <w:r w:rsidR="007D5B14">
        <w:rPr>
          <w:rFonts w:ascii="Times New Roman" w:hAnsi="Times New Roman" w:cs="Times New Roman"/>
          <w:sz w:val="22"/>
          <w:szCs w:val="22"/>
        </w:rPr>
        <w:t xml:space="preserve"> in Babb or in online books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44801E9" w14:textId="62CD239A" w:rsidR="007D5B14" w:rsidRDefault="00581FF3" w:rsidP="007D5B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7D5B14">
        <w:rPr>
          <w:rFonts w:ascii="Times New Roman" w:hAnsi="Times New Roman" w:cs="Times New Roman"/>
          <w:sz w:val="22"/>
          <w:szCs w:val="22"/>
        </w:rPr>
        <w:t xml:space="preserve">se Google </w:t>
      </w:r>
      <w:r>
        <w:rPr>
          <w:rFonts w:ascii="Times New Roman" w:hAnsi="Times New Roman" w:cs="Times New Roman"/>
          <w:sz w:val="22"/>
          <w:szCs w:val="22"/>
        </w:rPr>
        <w:t>S</w:t>
      </w:r>
      <w:r w:rsidR="007D5B14">
        <w:rPr>
          <w:rFonts w:ascii="Times New Roman" w:hAnsi="Times New Roman" w:cs="Times New Roman"/>
          <w:sz w:val="22"/>
          <w:szCs w:val="22"/>
        </w:rPr>
        <w:t>cholar to search Jainism and your topic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552B02D0" w14:textId="39672E51" w:rsidR="007D5B14" w:rsidRDefault="00581FF3" w:rsidP="007D5B1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7D5B14">
        <w:rPr>
          <w:rFonts w:ascii="Times New Roman" w:hAnsi="Times New Roman" w:cs="Times New Roman"/>
          <w:sz w:val="22"/>
          <w:szCs w:val="22"/>
        </w:rPr>
        <w:t>se the</w:t>
      </w:r>
      <w:r>
        <w:rPr>
          <w:rFonts w:ascii="Times New Roman" w:hAnsi="Times New Roman" w:cs="Times New Roman"/>
          <w:sz w:val="22"/>
          <w:szCs w:val="22"/>
        </w:rPr>
        <w:t xml:space="preserve"> UCI</w:t>
      </w:r>
      <w:r w:rsidR="007D5B14">
        <w:rPr>
          <w:rFonts w:ascii="Times New Roman" w:hAnsi="Times New Roman" w:cs="Times New Roman"/>
          <w:sz w:val="22"/>
          <w:szCs w:val="22"/>
        </w:rPr>
        <w:t xml:space="preserve"> library</w:t>
      </w:r>
      <w:r>
        <w:rPr>
          <w:rFonts w:ascii="Times New Roman" w:hAnsi="Times New Roman" w:cs="Times New Roman"/>
          <w:sz w:val="22"/>
          <w:szCs w:val="22"/>
        </w:rPr>
        <w:t xml:space="preserve"> website</w:t>
      </w:r>
      <w:r w:rsidR="007D5B14">
        <w:rPr>
          <w:rFonts w:ascii="Times New Roman" w:hAnsi="Times New Roman" w:cs="Times New Roman"/>
          <w:sz w:val="22"/>
          <w:szCs w:val="22"/>
        </w:rPr>
        <w:t xml:space="preserve"> to search for articles or books</w:t>
      </w:r>
      <w:r>
        <w:rPr>
          <w:rFonts w:ascii="Times New Roman" w:hAnsi="Times New Roman" w:cs="Times New Roman"/>
          <w:sz w:val="22"/>
          <w:szCs w:val="22"/>
        </w:rPr>
        <w:t xml:space="preserve"> on your topic.</w:t>
      </w:r>
    </w:p>
    <w:p w14:paraId="0C00BC93" w14:textId="2036FAF3" w:rsidR="00E81FA4" w:rsidRPr="00581FF3" w:rsidRDefault="00581FF3" w:rsidP="00581FF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7D5B14">
        <w:rPr>
          <w:rFonts w:ascii="Times New Roman" w:hAnsi="Times New Roman" w:cs="Times New Roman"/>
          <w:sz w:val="22"/>
          <w:szCs w:val="22"/>
        </w:rPr>
        <w:t xml:space="preserve">se the Amazon trick I showed you </w:t>
      </w:r>
      <w:r>
        <w:rPr>
          <w:rFonts w:ascii="Times New Roman" w:hAnsi="Times New Roman" w:cs="Times New Roman"/>
          <w:sz w:val="22"/>
          <w:szCs w:val="22"/>
        </w:rPr>
        <w:t>to reveal</w:t>
      </w:r>
      <w:r w:rsidR="007D5B14">
        <w:rPr>
          <w:rFonts w:ascii="Times New Roman" w:hAnsi="Times New Roman" w:cs="Times New Roman"/>
          <w:sz w:val="22"/>
          <w:szCs w:val="22"/>
        </w:rPr>
        <w:t xml:space="preserve"> particular books that you can “search inside”</w:t>
      </w:r>
      <w:r>
        <w:rPr>
          <w:rFonts w:ascii="Times New Roman" w:hAnsi="Times New Roman" w:cs="Times New Roman"/>
          <w:sz w:val="22"/>
          <w:szCs w:val="22"/>
        </w:rPr>
        <w:t xml:space="preserve"> or do a key term search within.</w:t>
      </w:r>
    </w:p>
    <w:p w14:paraId="134F0861" w14:textId="77777777" w:rsidR="00E81FA4" w:rsidRPr="00FC00BC" w:rsidRDefault="00E81FA4" w:rsidP="00E81FA4">
      <w:pPr>
        <w:rPr>
          <w:rFonts w:ascii="Times New Roman" w:hAnsi="Times New Roman" w:cs="Times New Roman"/>
          <w:sz w:val="22"/>
          <w:szCs w:val="22"/>
        </w:rPr>
      </w:pPr>
    </w:p>
    <w:p w14:paraId="5A0134D3" w14:textId="0A5C35AE" w:rsidR="00E81FA4" w:rsidRPr="00FC00BC" w:rsidRDefault="00E81FA4" w:rsidP="00E81FA4">
      <w:pPr>
        <w:rPr>
          <w:rFonts w:ascii="Times New Roman" w:hAnsi="Times New Roman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</w:rPr>
        <w:t xml:space="preserve">Step 2 (Turn in!): </w:t>
      </w:r>
      <w:r w:rsidRPr="00FC00BC">
        <w:rPr>
          <w:rFonts w:ascii="Times New Roman" w:hAnsi="Times New Roman" w:cs="Times New Roman"/>
          <w:sz w:val="22"/>
          <w:szCs w:val="22"/>
        </w:rPr>
        <w:t xml:space="preserve">Create a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Research Chart</w:t>
      </w:r>
      <w:r w:rsidRPr="00FC00BC">
        <w:rPr>
          <w:rFonts w:ascii="Times New Roman" w:hAnsi="Times New Roman" w:cs="Times New Roman"/>
          <w:sz w:val="22"/>
          <w:szCs w:val="22"/>
        </w:rPr>
        <w:t xml:space="preserve"> for each of the sources, including a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Bibliography</w:t>
      </w:r>
      <w:r w:rsidRPr="00FC00BC">
        <w:rPr>
          <w:rFonts w:ascii="Times New Roman" w:hAnsi="Times New Roman" w:cs="Times New Roman"/>
          <w:sz w:val="22"/>
          <w:szCs w:val="22"/>
        </w:rPr>
        <w:t xml:space="preserve">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entry</w:t>
      </w:r>
      <w:r w:rsidRPr="00FC00BC">
        <w:rPr>
          <w:rFonts w:ascii="Times New Roman" w:hAnsi="Times New Roman" w:cs="Times New Roman"/>
          <w:sz w:val="22"/>
          <w:szCs w:val="22"/>
        </w:rPr>
        <w:t xml:space="preserve"> using the pdf of the </w:t>
      </w:r>
      <w:r w:rsidRPr="00FC00BC">
        <w:rPr>
          <w:rFonts w:ascii="Times New Roman" w:hAnsi="Times New Roman" w:cs="Times New Roman"/>
          <w:i/>
          <w:iCs/>
          <w:sz w:val="22"/>
          <w:szCs w:val="22"/>
        </w:rPr>
        <w:t>Bedford Handbook</w:t>
      </w:r>
      <w:r w:rsidRPr="00FC00BC">
        <w:rPr>
          <w:rFonts w:ascii="Times New Roman" w:hAnsi="Times New Roman" w:cs="Times New Roman"/>
          <w:sz w:val="22"/>
          <w:szCs w:val="22"/>
        </w:rPr>
        <w:t>, located in syllabus “Resources”. These charts should be as long as they need to be for you to get the basic points, terms, arguments</w:t>
      </w:r>
      <w:r w:rsidR="00941D1E">
        <w:rPr>
          <w:rFonts w:ascii="Times New Roman" w:hAnsi="Times New Roman" w:cs="Times New Roman"/>
          <w:sz w:val="22"/>
          <w:szCs w:val="22"/>
        </w:rPr>
        <w:t xml:space="preserve"> that you are focusing on. For example, one chapter or section in Babb may be all that is relevant</w:t>
      </w:r>
      <w:r w:rsidRPr="00FC00BC">
        <w:rPr>
          <w:rFonts w:ascii="Times New Roman" w:hAnsi="Times New Roman" w:cs="Times New Roman"/>
          <w:sz w:val="22"/>
          <w:szCs w:val="22"/>
        </w:rPr>
        <w:t xml:space="preserve">. </w:t>
      </w:r>
      <w:r w:rsidRPr="00FC00BC">
        <w:rPr>
          <w:rFonts w:ascii="Times New Roman" w:hAnsi="Times New Roman" w:cs="Times New Roman"/>
          <w:sz w:val="22"/>
          <w:szCs w:val="22"/>
          <w:u w:val="single"/>
        </w:rPr>
        <w:t>Please include the page you found your bibliography model on</w:t>
      </w:r>
      <w:r w:rsidRPr="00FC00BC">
        <w:rPr>
          <w:rFonts w:ascii="Times New Roman" w:hAnsi="Times New Roman" w:cs="Times New Roman"/>
          <w:sz w:val="22"/>
          <w:szCs w:val="22"/>
        </w:rPr>
        <w:t>. *See sample Research Chart in this worksheet below.</w:t>
      </w:r>
    </w:p>
    <w:p w14:paraId="7B545658" w14:textId="77777777" w:rsidR="00E81FA4" w:rsidRPr="00FC00BC" w:rsidRDefault="00E81FA4" w:rsidP="00E81FA4">
      <w:pPr>
        <w:rPr>
          <w:rFonts w:ascii="Times New Roman" w:hAnsi="Times New Roman" w:cs="Times New Roman"/>
          <w:sz w:val="22"/>
          <w:szCs w:val="22"/>
        </w:rPr>
      </w:pPr>
    </w:p>
    <w:p w14:paraId="6902196A" w14:textId="5F5EA063" w:rsidR="00E81FA4" w:rsidRDefault="00581FF3" w:rsidP="00E81FA4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Step 3: Upload by November 19 class time.</w:t>
      </w:r>
    </w:p>
    <w:p w14:paraId="4C3BE0AA" w14:textId="77777777" w:rsidR="00581FF3" w:rsidRPr="00FC00BC" w:rsidRDefault="00581FF3" w:rsidP="00E81FA4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85E752" w14:textId="77777777" w:rsidR="00941D1E" w:rsidRDefault="00941D1E" w:rsidP="00E81FA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ko-KR"/>
        </w:rPr>
      </w:pPr>
    </w:p>
    <w:p w14:paraId="1095E727" w14:textId="49DB6386" w:rsidR="00E81FA4" w:rsidRPr="00FC00BC" w:rsidRDefault="00E81FA4" w:rsidP="00E81FA4">
      <w:pPr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b/>
          <w:bCs/>
          <w:sz w:val="22"/>
          <w:szCs w:val="22"/>
          <w:lang w:eastAsia="ko-KR"/>
        </w:rPr>
      </w:pPr>
      <w:r w:rsidRPr="00FC00BC">
        <w:rPr>
          <w:rFonts w:ascii="Times New Roman" w:eastAsia="Times New Roman" w:hAnsi="Times New Roman" w:cs="Times New Roman"/>
          <w:b/>
          <w:bCs/>
          <w:sz w:val="22"/>
          <w:szCs w:val="22"/>
          <w:highlight w:val="yellow"/>
          <w:lang w:eastAsia="ko-KR"/>
        </w:rPr>
        <w:t>Grading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075"/>
      </w:tblGrid>
      <w:tr w:rsidR="00E81FA4" w:rsidRPr="00FC00BC" w14:paraId="2CC20558" w14:textId="77777777" w:rsidTr="00F07F64">
        <w:tc>
          <w:tcPr>
            <w:tcW w:w="8275" w:type="dxa"/>
          </w:tcPr>
          <w:p w14:paraId="61D18F5E" w14:textId="77777777" w:rsidR="00E81FA4" w:rsidRPr="00FC00BC" w:rsidRDefault="00E81FA4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ko-KR"/>
              </w:rPr>
              <w:t>Item</w:t>
            </w:r>
          </w:p>
        </w:tc>
        <w:tc>
          <w:tcPr>
            <w:tcW w:w="1075" w:type="dxa"/>
          </w:tcPr>
          <w:p w14:paraId="3F75FEF0" w14:textId="77777777" w:rsidR="00E81FA4" w:rsidRPr="00FC00BC" w:rsidRDefault="00E81FA4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Points</w:t>
            </w:r>
          </w:p>
        </w:tc>
      </w:tr>
      <w:tr w:rsidR="00E81FA4" w:rsidRPr="00FC00BC" w14:paraId="1C6036E3" w14:textId="77777777" w:rsidTr="00F07F64">
        <w:tc>
          <w:tcPr>
            <w:tcW w:w="8275" w:type="dxa"/>
          </w:tcPr>
          <w:p w14:paraId="2A53D7BD" w14:textId="78EAA03E" w:rsidR="00E81FA4" w:rsidRPr="00FC00BC" w:rsidRDefault="00E81FA4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Locate at least </w:t>
            </w:r>
            <w:r w:rsid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six</w:t>
            </w: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peer-reviewed sources that describe your chosen issue</w:t>
            </w:r>
          </w:p>
        </w:tc>
        <w:tc>
          <w:tcPr>
            <w:tcW w:w="1075" w:type="dxa"/>
          </w:tcPr>
          <w:p w14:paraId="6D882E2C" w14:textId="55CADD04" w:rsidR="00E81FA4" w:rsidRPr="00FC00BC" w:rsidRDefault="00581FF3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6</w:t>
            </w:r>
          </w:p>
        </w:tc>
      </w:tr>
      <w:tr w:rsidR="00E81FA4" w:rsidRPr="00FC00BC" w14:paraId="5B03D020" w14:textId="77777777" w:rsidTr="00F07F64">
        <w:tc>
          <w:tcPr>
            <w:tcW w:w="8275" w:type="dxa"/>
          </w:tcPr>
          <w:p w14:paraId="32266155" w14:textId="3D1B1353" w:rsidR="00E81FA4" w:rsidRPr="00FC00BC" w:rsidRDefault="00E81FA4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Research Charts content</w:t>
            </w:r>
            <w:r w:rsid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A</w:t>
            </w:r>
          </w:p>
          <w:p w14:paraId="0570BC92" w14:textId="44AF8EBF" w:rsidR="00E81FA4" w:rsidRPr="00FC00BC" w:rsidRDefault="00E81FA4" w:rsidP="00E81FA4">
            <w:pPr>
              <w:pStyle w:val="ListParagraph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adequate content</w:t>
            </w:r>
            <w:r w:rsid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from the source (second column)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related 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to your issue and its ethical tensions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described in Worksheet 2</w:t>
            </w:r>
            <w:r w:rsidR="00FB7875" w:rsidRP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that can be used later in the quarter to construct a Jain response to your issue. </w:t>
            </w:r>
          </w:p>
        </w:tc>
        <w:tc>
          <w:tcPr>
            <w:tcW w:w="1075" w:type="dxa"/>
          </w:tcPr>
          <w:p w14:paraId="50FED37A" w14:textId="33D5619B" w:rsidR="00E81FA4" w:rsidRPr="00FC00BC" w:rsidRDefault="00FB7875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14</w:t>
            </w:r>
            <w:bookmarkStart w:id="0" w:name="_GoBack"/>
            <w:bookmarkEnd w:id="0"/>
          </w:p>
        </w:tc>
      </w:tr>
      <w:tr w:rsidR="00941D1E" w:rsidRPr="00FC00BC" w14:paraId="65C0E242" w14:textId="77777777" w:rsidTr="00F07F64">
        <w:tc>
          <w:tcPr>
            <w:tcW w:w="8275" w:type="dxa"/>
          </w:tcPr>
          <w:p w14:paraId="59FCC0DF" w14:textId="55184159" w:rsidR="00941D1E" w:rsidRDefault="00941D1E" w:rsidP="00941D1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Research Charts content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B</w:t>
            </w:r>
          </w:p>
          <w:p w14:paraId="0225E99F" w14:textId="2E9D3C3B" w:rsidR="00941D1E" w:rsidRPr="00941D1E" w:rsidRDefault="00941D1E" w:rsidP="00941D1E">
            <w:pPr>
              <w:pStyle w:val="ListParagraph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adequate</w:t>
            </w:r>
            <w:r w:rsidRP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“notes” column filled out (third column) </w:t>
            </w:r>
            <w:r w:rsidRP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possible connections and key ideas related to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your issue and its ethical tensions</w:t>
            </w:r>
            <w:r w:rsidRPr="00941D1E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</w:t>
            </w:r>
            <w:r w:rsidR="00FB7875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that can be used later in the quarter to construct a Jain response to your issue.</w:t>
            </w:r>
          </w:p>
        </w:tc>
        <w:tc>
          <w:tcPr>
            <w:tcW w:w="1075" w:type="dxa"/>
          </w:tcPr>
          <w:p w14:paraId="038022BA" w14:textId="605CE1EA" w:rsidR="00941D1E" w:rsidRDefault="00FB7875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10</w:t>
            </w:r>
          </w:p>
        </w:tc>
      </w:tr>
      <w:tr w:rsidR="00E81FA4" w:rsidRPr="00FC00BC" w14:paraId="7DEC5441" w14:textId="77777777" w:rsidTr="00F07F64">
        <w:tc>
          <w:tcPr>
            <w:tcW w:w="8275" w:type="dxa"/>
          </w:tcPr>
          <w:p w14:paraId="3C544F8A" w14:textId="77777777" w:rsidR="00E81FA4" w:rsidRPr="00FC00BC" w:rsidRDefault="00E81FA4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Bibliography entries, including the page of the </w:t>
            </w:r>
            <w:r w:rsidRPr="00FC00BC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  <w:lang w:eastAsia="ko-KR"/>
              </w:rPr>
              <w:t>Bedford Handbook</w:t>
            </w:r>
            <w:r w:rsidRPr="00FC00BC"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 xml:space="preserve"> you found your bibliography entry model on</w:t>
            </w:r>
          </w:p>
        </w:tc>
        <w:tc>
          <w:tcPr>
            <w:tcW w:w="1075" w:type="dxa"/>
          </w:tcPr>
          <w:p w14:paraId="097C3AE7" w14:textId="188A3A70" w:rsidR="00E81FA4" w:rsidRPr="00FC00BC" w:rsidRDefault="00581FF3" w:rsidP="00F07F6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ko-KR"/>
              </w:rPr>
              <w:t>10</w:t>
            </w:r>
          </w:p>
        </w:tc>
      </w:tr>
    </w:tbl>
    <w:p w14:paraId="6E69457C" w14:textId="77777777" w:rsidR="00E81FA4" w:rsidRPr="00FC00BC" w:rsidRDefault="00E81FA4" w:rsidP="00E81FA4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579B9A42" w14:textId="77777777" w:rsidR="00E81FA4" w:rsidRDefault="00E81FA4" w:rsidP="00E81FA4">
      <w:pPr>
        <w:rPr>
          <w:rFonts w:ascii="Times New Roman" w:hAnsi="Times New Roman" w:cs="Times New Roman"/>
          <w:b/>
          <w:bCs/>
          <w:sz w:val="22"/>
          <w:szCs w:val="22"/>
          <w:highlight w:val="yellow"/>
        </w:rPr>
      </w:pPr>
    </w:p>
    <w:p w14:paraId="0779CBB1" w14:textId="77777777" w:rsidR="00E81FA4" w:rsidRPr="00FC00BC" w:rsidRDefault="00E81FA4" w:rsidP="00E81FA4">
      <w:pPr>
        <w:rPr>
          <w:rFonts w:ascii="Times" w:eastAsia="Times New Roman" w:hAnsi="Times" w:cs="Times New Roman"/>
          <w:sz w:val="22"/>
          <w:szCs w:val="22"/>
        </w:rPr>
      </w:pPr>
      <w:r w:rsidRPr="00FC00B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Sample Bibliography and Research Charts</w:t>
      </w:r>
      <w:r w:rsidRPr="00344370">
        <w:rPr>
          <w:rFonts w:ascii="Calibri" w:eastAsia="Times New Roman" w:hAnsi="Calibri" w:cs="Calibri"/>
          <w:sz w:val="22"/>
          <w:szCs w:val="22"/>
        </w:rPr>
        <w:br/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Gross, Aaron. “The Study of Religion </w:t>
      </w:r>
      <w:r w:rsidRPr="00FC00BC">
        <w:rPr>
          <w:rFonts w:ascii="Times" w:eastAsia="Times New Roman" w:hAnsi="Times" w:cs="Times New Roman"/>
          <w:sz w:val="22"/>
          <w:szCs w:val="22"/>
        </w:rPr>
        <w:t>After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 the Animal.” 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>Animals as Religious Subjects: Transdisciplinary Perspec</w:t>
      </w:r>
      <w:r w:rsidRPr="00FC00BC">
        <w:rPr>
          <w:rFonts w:ascii="Times" w:eastAsia="Times New Roman" w:hAnsi="Times" w:cs="Times New Roman"/>
          <w:i/>
          <w:iCs/>
          <w:sz w:val="22"/>
          <w:szCs w:val="22"/>
        </w:rPr>
        <w:t>ti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>ves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, edited by Cecilia Deane-Drummond et al., T &amp; T Clark, 2013, pp. 59–72. </w:t>
      </w:r>
    </w:p>
    <w:p w14:paraId="6688067D" w14:textId="77777777" w:rsidR="00E81FA4" w:rsidRPr="00FC00BC" w:rsidRDefault="00E81FA4" w:rsidP="00E81FA4">
      <w:pPr>
        <w:rPr>
          <w:rFonts w:ascii="Times" w:eastAsia="Times New Roman" w:hAnsi="Times" w:cs="Times New Roman"/>
          <w:sz w:val="22"/>
          <w:szCs w:val="22"/>
        </w:rPr>
      </w:pPr>
    </w:p>
    <w:p w14:paraId="0B6DC44D" w14:textId="77777777" w:rsidR="00E81FA4" w:rsidRPr="00FC00BC" w:rsidRDefault="00E81FA4" w:rsidP="00E81FA4">
      <w:pPr>
        <w:rPr>
          <w:rFonts w:ascii="Times" w:hAnsi="Times" w:cs="Times New Roman"/>
          <w:sz w:val="22"/>
          <w:szCs w:val="22"/>
        </w:rPr>
      </w:pPr>
      <w:r w:rsidRPr="00344370">
        <w:rPr>
          <w:rFonts w:ascii="Times" w:eastAsia="Times New Roman" w:hAnsi="Times" w:cs="Times New Roman"/>
          <w:sz w:val="22"/>
          <w:szCs w:val="22"/>
        </w:rPr>
        <w:t xml:space="preserve">Page # of </w:t>
      </w:r>
      <w:r w:rsidRPr="00344370">
        <w:rPr>
          <w:rFonts w:ascii="Times" w:eastAsia="Times New Roman" w:hAnsi="Times" w:cs="Times New Roman"/>
          <w:i/>
          <w:iCs/>
          <w:sz w:val="22"/>
          <w:szCs w:val="22"/>
        </w:rPr>
        <w:t xml:space="preserve">The Bedford Handbook </w:t>
      </w:r>
      <w:r w:rsidRPr="00344370">
        <w:rPr>
          <w:rFonts w:ascii="Times" w:eastAsia="Times New Roman" w:hAnsi="Times" w:cs="Times New Roman"/>
          <w:sz w:val="22"/>
          <w:szCs w:val="22"/>
        </w:rPr>
        <w:t xml:space="preserve">you used as a model for your entry: page 17 </w:t>
      </w:r>
    </w:p>
    <w:p w14:paraId="0D107E1D" w14:textId="77777777" w:rsidR="00E81FA4" w:rsidRPr="00344370" w:rsidRDefault="00E81FA4" w:rsidP="00E81FA4">
      <w:pPr>
        <w:rPr>
          <w:rFonts w:ascii="Times" w:hAnsi="Times" w:cs="Times New Roman"/>
          <w:sz w:val="22"/>
          <w:szCs w:val="22"/>
        </w:rPr>
      </w:pPr>
      <w:r w:rsidRPr="00344370">
        <w:rPr>
          <w:rFonts w:ascii="Times" w:eastAsia="Times New Roman" w:hAnsi="Times" w:cs="Times New Roman"/>
          <w:sz w:val="22"/>
          <w:szCs w:val="2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5126"/>
        <w:gridCol w:w="3582"/>
      </w:tblGrid>
      <w:tr w:rsidR="00E81FA4" w:rsidRPr="00344370" w14:paraId="78746004" w14:textId="77777777" w:rsidTr="00F07F64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CC2E498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PAGE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86EB0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CONCEPT, DEFINITIONS, OR QUOTES, ETC.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B3D1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 xml:space="preserve">NOTES/CONNECTIONS TO MYSELF </w:t>
            </w:r>
          </w:p>
        </w:tc>
      </w:tr>
      <w:tr w:rsidR="00E81FA4" w:rsidRPr="00344370" w14:paraId="2BC21747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3947B88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N/A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3E78D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Aaron Gross is a professor of Theology and Religious Studies at UCSD, and he focuses on topics in modern Jewish ethics, animals and religion, and other related issues.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6C937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3C2812D7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003BF88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9BD9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“Que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stio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ns about what animals are, and whether animals can 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par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cipate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in the phenomena of religion, are also 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founding 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ques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ons in religious studies”.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2ACB2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26E3F7A9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867846A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59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FCD31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Gross Thesis 1: The theorists who founded the studies into religions and the humani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at large have done so by defining themselves in regard to a certain understanding of the animal.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7FC637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0D558C68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12A0D368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61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AFB6C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Gross’ third approach: “...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adending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to how the ques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of the animal founds the very discourses that now, belatedly, have turned to inquire about animals”.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C3260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 key point, as progress and understanding of animals and religion can only be found once one uncovers the assump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 that have been buried since the concep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of religious and humani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studies. </w:t>
            </w:r>
          </w:p>
        </w:tc>
      </w:tr>
      <w:tr w:rsidR="00E81FA4" w:rsidRPr="00344370" w14:paraId="4660961C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25F82B41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01C4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Emilie Durkheim main focus: “Durkheim’s inquiry into religion is simultaneously an inquiry into the origins of conceptual thought, the emergence of the human out of animality, and the founda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 of society — all four of these are in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mately bound together”.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A9EF2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32B0BAAC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26B951B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3D39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For Durkheim, the emergency of the human out of animality and the emergence of properly conceptual thought is the same process.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A580C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what would Durkheim define as “proper conceptual thought”? </w:t>
            </w:r>
          </w:p>
        </w:tc>
      </w:tr>
      <w:tr w:rsidR="00E81FA4" w:rsidRPr="00344370" w14:paraId="10CBAB8E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40F62B0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lastRenderedPageBreak/>
              <w:t xml:space="preserve">62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E985F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Durkheim Main Point 2: Through the emergence of conceptual thought the “human” emerges from the animal, and in doing so creates society.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837A5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2E8B759E" w14:textId="77777777" w:rsidTr="00F07F64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70812EBD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63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B05CB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Durkheim’s “religious”: the phenomenon of humans understanding the difference between the “sacred”, that being special shared group a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cti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vi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es, and the “profane”, that being regular individual ac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vi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es of daily life. This is the “sacred- profane” binary.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49FD69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An interes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ng </w:t>
            </w:r>
            <w:proofErr w:type="spellStart"/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defini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]on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of religion, one to keep in mind as discussions of religion gets more complicated. </w:t>
            </w:r>
          </w:p>
        </w:tc>
      </w:tr>
      <w:tr w:rsidR="00E81FA4" w:rsidRPr="00344370" w14:paraId="01453550" w14:textId="77777777" w:rsidTr="00F07F64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72C0B63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63-64 </w:t>
            </w:r>
          </w:p>
        </w:tc>
        <w:tc>
          <w:tcPr>
            <w:tcW w:w="5169" w:type="dxa"/>
            <w:tcBorders>
              <w:top w:val="single" w:sz="4" w:space="0" w:color="7F7F7F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D9867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Durkheim argues that the di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sti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between human and animal is one that is constructed, but 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ll very real. This is because such a dis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is constructed via the understanding of the sacred-profane binary. </w:t>
            </w:r>
          </w:p>
        </w:tc>
        <w:tc>
          <w:tcPr>
            <w:tcW w:w="3595" w:type="dxa"/>
            <w:tcBorders>
              <w:top w:val="single" w:sz="4" w:space="0" w:color="7F7F7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C6D2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This as opposed to something more biological, like opposable thumbs. </w:t>
            </w:r>
          </w:p>
        </w:tc>
      </w:tr>
      <w:tr w:rsidR="00E81FA4" w:rsidRPr="00344370" w14:paraId="2CE1D865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71AE8FF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64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95B8D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For Durkheim, humans have arisen with conceptual thought, but because for him, animals have a fixed nature, they are cut off from having access to religion, society, or conceptual thought.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9F827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0A249F20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F3767A4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64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FED53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“For Eliade the human is produced in the act of myth-making, which is essen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ally an act of meaning-making”.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04E9D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Here is Eliade’s claim, where the dis]</w:t>
            </w:r>
            <w:proofErr w:type="spellStart"/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]on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between humans and animals is the human trait of </w:t>
            </w:r>
            <w:proofErr w:type="spell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crea</w:t>
            </w:r>
            <w:proofErr w:type="spell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]ng myth or meaning. A build off of Durkheim. </w:t>
            </w:r>
          </w:p>
        </w:tc>
      </w:tr>
      <w:tr w:rsidR="00E81FA4" w:rsidRPr="00344370" w14:paraId="44B70B9A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9F94A0B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9A6369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“Religion, for both thinkers </w:t>
            </w:r>
            <w:proofErr w:type="gramStart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begins</w:t>
            </w:r>
            <w:proofErr w:type="gramEnd"/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 where the animal ends. As Eliade has it, ‘In other words, to be—or, rather, to become—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a man 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signifies being </w:t>
            </w:r>
            <w:r w:rsidRPr="00344370">
              <w:rPr>
                <w:rFonts w:ascii="Times" w:eastAsia="Times New Roman" w:hAnsi="Times" w:cs="Times New Roman"/>
                <w:b/>
                <w:bCs/>
                <w:sz w:val="22"/>
                <w:szCs w:val="22"/>
              </w:rPr>
              <w:t>religious</w:t>
            </w:r>
            <w:r w:rsidRPr="00344370">
              <w:rPr>
                <w:rFonts w:ascii="Times" w:eastAsia="Times New Roman" w:hAnsi="Times" w:cs="Times New Roman"/>
                <w:i/>
                <w:iCs/>
                <w:sz w:val="22"/>
                <w:szCs w:val="22"/>
              </w:rPr>
              <w:t xml:space="preserve">’”.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47DB2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52463963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3D44E90A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CF329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Eliade’s opening quote seems to reflect the idea that humans are far be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er or improved when compared to primates, that primates are a past condi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that humans have risen above.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92D28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1219DABE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6B146D58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65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3B5C5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Eliade three dis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nc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ons: Ver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cality, where humans have the ability to develop sacred spaces, the use of tools such as fire, and the decision to kill in order to survive.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0F027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  <w:tr w:rsidR="00E81FA4" w:rsidRPr="00344370" w14:paraId="3FB3058A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04E964F2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67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25B0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“Our imagina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on of the human and religion is constrained less because of evidence than because of a hidden theologically and culturally specific assump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on”.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BD1F9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This hidden assump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ti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on being that “religious” is to not be animal. </w:t>
            </w:r>
          </w:p>
        </w:tc>
      </w:tr>
      <w:tr w:rsidR="00E81FA4" w:rsidRPr="00344370" w14:paraId="3C82854B" w14:textId="77777777" w:rsidTr="00F07F64">
        <w:tc>
          <w:tcPr>
            <w:tcW w:w="0" w:type="auto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7F7F7F"/>
            </w:tcBorders>
            <w:shd w:val="clear" w:color="auto" w:fill="auto"/>
            <w:vAlign w:val="center"/>
            <w:hideMark/>
          </w:tcPr>
          <w:p w14:paraId="51E84EEE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68 </w:t>
            </w:r>
          </w:p>
        </w:tc>
        <w:tc>
          <w:tcPr>
            <w:tcW w:w="5169" w:type="dxa"/>
            <w:tcBorders>
              <w:top w:val="single" w:sz="4" w:space="0" w:color="000000"/>
              <w:left w:val="single" w:sz="4" w:space="0" w:color="7F7F7F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8EB75" w14:textId="77777777" w:rsidR="00E81FA4" w:rsidRPr="00344370" w:rsidRDefault="00E81FA4" w:rsidP="00F07F64">
            <w:pPr>
              <w:spacing w:before="100" w:beforeAutospacing="1" w:after="100" w:afterAutospacing="1"/>
              <w:rPr>
                <w:rFonts w:ascii="Times" w:eastAsia="Times New Roman" w:hAnsi="Times" w:cs="Times New Roman"/>
                <w:sz w:val="22"/>
                <w:szCs w:val="22"/>
              </w:rPr>
            </w:pP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>Jonathan Z. Smith, while looking at the legacy of Durkheim and Eliade’s work, reminds a reader that the study of religion is at bo</w:t>
            </w:r>
            <w:r w:rsidRPr="00FC00BC">
              <w:rPr>
                <w:rFonts w:ascii="Times" w:eastAsia="Times New Roman" w:hAnsi="Times" w:cs="Times New Roman"/>
                <w:sz w:val="22"/>
                <w:szCs w:val="22"/>
              </w:rPr>
              <w:t>tt</w:t>
            </w:r>
            <w:r w:rsidRPr="00344370">
              <w:rPr>
                <w:rFonts w:ascii="Times" w:eastAsia="Times New Roman" w:hAnsi="Times" w:cs="Times New Roman"/>
                <w:sz w:val="22"/>
                <w:szCs w:val="22"/>
              </w:rPr>
              <w:t xml:space="preserve">om the study of the human </w:t>
            </w:r>
          </w:p>
        </w:tc>
        <w:tc>
          <w:tcPr>
            <w:tcW w:w="3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DD008" w14:textId="77777777" w:rsidR="00E81FA4" w:rsidRPr="00344370" w:rsidRDefault="00E81FA4" w:rsidP="00F07F64">
            <w:pPr>
              <w:rPr>
                <w:rFonts w:ascii="Times" w:eastAsia="Times New Roman" w:hAnsi="Times" w:cs="Times New Roman"/>
                <w:sz w:val="22"/>
                <w:szCs w:val="22"/>
              </w:rPr>
            </w:pPr>
          </w:p>
        </w:tc>
      </w:tr>
    </w:tbl>
    <w:p w14:paraId="76406589" w14:textId="77777777" w:rsidR="00E81FA4" w:rsidRPr="00344370" w:rsidRDefault="00E81FA4" w:rsidP="00E81FA4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sz w:val="22"/>
          <w:szCs w:val="22"/>
        </w:rPr>
      </w:pPr>
    </w:p>
    <w:p w14:paraId="18E0C8F6" w14:textId="77777777" w:rsidR="00E81FA4" w:rsidRDefault="00E81FA4"/>
    <w:sectPr w:rsidR="00E81FA4" w:rsidSect="00344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76674"/>
    <w:multiLevelType w:val="hybridMultilevel"/>
    <w:tmpl w:val="953E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05AFE"/>
    <w:multiLevelType w:val="multilevel"/>
    <w:tmpl w:val="20C8F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CC34D6"/>
    <w:multiLevelType w:val="hybridMultilevel"/>
    <w:tmpl w:val="8872257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2F674612"/>
    <w:multiLevelType w:val="hybridMultilevel"/>
    <w:tmpl w:val="B7025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C0F43"/>
    <w:multiLevelType w:val="hybridMultilevel"/>
    <w:tmpl w:val="555C0D00"/>
    <w:lvl w:ilvl="0" w:tplc="0000012D">
      <w:start w:val="1"/>
      <w:numFmt w:val="bullet"/>
      <w:lvlText w:val="•"/>
      <w:lvlJc w:val="left"/>
      <w:pPr>
        <w:ind w:left="1440" w:hanging="360"/>
      </w:p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97DAD"/>
    <w:multiLevelType w:val="multilevel"/>
    <w:tmpl w:val="57B6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9E5218"/>
    <w:multiLevelType w:val="multilevel"/>
    <w:tmpl w:val="4BC0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C86F6B"/>
    <w:multiLevelType w:val="multilevel"/>
    <w:tmpl w:val="57B64C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A4"/>
    <w:rsid w:val="00481C26"/>
    <w:rsid w:val="004F27E5"/>
    <w:rsid w:val="00581FF3"/>
    <w:rsid w:val="007D5B14"/>
    <w:rsid w:val="00941D1E"/>
    <w:rsid w:val="00E81FA4"/>
    <w:rsid w:val="00FB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00A21F"/>
  <w15:chartTrackingRefBased/>
  <w15:docId w15:val="{3A17F903-CA65-B44A-8053-FF5EB6051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FA4"/>
    <w:pPr>
      <w:ind w:left="720"/>
      <w:contextualSpacing/>
    </w:pPr>
  </w:style>
  <w:style w:type="table" w:styleId="TableGrid">
    <w:name w:val="Table Grid"/>
    <w:basedOn w:val="TableNormal"/>
    <w:uiPriority w:val="39"/>
    <w:rsid w:val="00E81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B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5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26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jainpedi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2</cp:revision>
  <dcterms:created xsi:type="dcterms:W3CDTF">2020-10-31T18:38:00Z</dcterms:created>
  <dcterms:modified xsi:type="dcterms:W3CDTF">2020-10-31T22:14:00Z</dcterms:modified>
</cp:coreProperties>
</file>